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952E0" w14:textId="7D28BD1A" w:rsidR="008A3282" w:rsidRDefault="008A3282" w:rsidP="008A328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109-e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220</w:t>
      </w:r>
      <w:r w:rsidR="00E010CE">
        <w:rPr>
          <w:rFonts w:ascii="Arial" w:hAnsi="Arial" w:cs="Arial"/>
          <w:b/>
          <w:bCs/>
        </w:rPr>
        <w:t>4268</w:t>
      </w:r>
    </w:p>
    <w:p w14:paraId="5A1D4566" w14:textId="77777777" w:rsidR="008A3282" w:rsidRPr="00210D4C" w:rsidRDefault="008A3282" w:rsidP="008A328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9</w:t>
      </w:r>
      <w:r w:rsidRPr="00521E73">
        <w:rPr>
          <w:rFonts w:ascii="Arial" w:eastAsia="MS Mincho" w:hAnsi="Arial" w:cs="Arial"/>
          <w:b/>
          <w:bCs/>
          <w:vertAlign w:val="superscript"/>
          <w:lang w:eastAsia="ja-JP"/>
        </w:rPr>
        <w:t>t</w:t>
      </w:r>
      <w:r>
        <w:rPr>
          <w:rFonts w:ascii="Arial" w:eastAsia="MS Mincho" w:hAnsi="Arial" w:cs="Arial"/>
          <w:b/>
          <w:bCs/>
          <w:vertAlign w:val="superscript"/>
          <w:lang w:eastAsia="ja-JP"/>
        </w:rPr>
        <w:t>h</w:t>
      </w:r>
      <w:r>
        <w:rPr>
          <w:rFonts w:ascii="Arial" w:eastAsia="MS Mincho" w:hAnsi="Arial" w:cs="Arial"/>
          <w:b/>
          <w:bCs/>
          <w:lang w:eastAsia="ja-JP"/>
        </w:rPr>
        <w:t xml:space="preserve"> – 20</w:t>
      </w:r>
      <w:r w:rsidRPr="001A0981">
        <w:rPr>
          <w:rFonts w:ascii="Arial" w:eastAsia="MS Mincho" w:hAnsi="Arial" w:cs="Arial"/>
          <w:b/>
          <w:bCs/>
          <w:vertAlign w:val="superscript"/>
          <w:lang w:eastAsia="ja-JP"/>
        </w:rPr>
        <w:t>th</w:t>
      </w:r>
      <w:r>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3DA5599A" w:rsidR="00E90E49" w:rsidRPr="00CE30E7" w:rsidRDefault="00E90E49" w:rsidP="00311702">
      <w:pPr>
        <w:pStyle w:val="3GPPHeader"/>
      </w:pPr>
      <w:r w:rsidRPr="00CE30E7">
        <w:t>Agenda Item:</w:t>
      </w:r>
      <w:r w:rsidRPr="00CE30E7">
        <w:tab/>
      </w:r>
      <w:r w:rsidR="00FA72BF">
        <w:t>9.</w:t>
      </w:r>
      <w:r w:rsidR="00876848">
        <w:t>12</w:t>
      </w:r>
      <w:r w:rsidR="00FA72BF">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29AD2ED3" w:rsidR="00531215" w:rsidRPr="00CE30E7" w:rsidRDefault="003D3C45" w:rsidP="00311702">
      <w:pPr>
        <w:pStyle w:val="3GPPHeader"/>
      </w:pPr>
      <w:r w:rsidRPr="00CE30E7">
        <w:t>Title:</w:t>
      </w:r>
      <w:r w:rsidR="00E90E49" w:rsidRPr="00CE30E7">
        <w:tab/>
      </w:r>
      <w:r w:rsidR="008A3282">
        <w:t>On</w:t>
      </w:r>
      <w:r w:rsidR="004E60F2">
        <w:t xml:space="preserve"> </w:t>
      </w:r>
      <w:r w:rsidR="00876848">
        <w:t>Disabling of HARQ Feedback for IoT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5A379F96"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#95e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2C6C67B1" w14:textId="41B518FE" w:rsidR="00FA72BF" w:rsidRDefault="00FA72BF" w:rsidP="008A3282">
      <w:pPr>
        <w:jc w:val="both"/>
      </w:pPr>
    </w:p>
    <w:p w14:paraId="5B8CAF55" w14:textId="4BB6DA9D" w:rsidR="00FA72BF" w:rsidRDefault="00FA72BF" w:rsidP="008A3282">
      <w:pPr>
        <w:jc w:val="both"/>
      </w:pPr>
      <w:r>
        <w:t xml:space="preserve">One of the RAN1 objectives is </w:t>
      </w:r>
      <w:r w:rsidR="00876848">
        <w:t>disabling of HARQ feedback to mitigate impact of HARQ stalling on UE data rates</w:t>
      </w:r>
      <w:r>
        <w:t xml:space="preserve">. </w:t>
      </w:r>
    </w:p>
    <w:p w14:paraId="621BCD91" w14:textId="77777777" w:rsidR="004E60F2" w:rsidRDefault="004E60F2" w:rsidP="004E60F2">
      <w:pPr>
        <w:jc w:val="both"/>
      </w:pPr>
    </w:p>
    <w:p w14:paraId="65E8C13E" w14:textId="59F5426C" w:rsidR="006400C7" w:rsidRPr="006400C7" w:rsidRDefault="006400C7" w:rsidP="00CD60DA">
      <w:pPr>
        <w:jc w:val="both"/>
      </w:pPr>
      <w:r>
        <w:t xml:space="preserve">In this contribution, we </w:t>
      </w:r>
      <w:r w:rsidR="00991887">
        <w:t>provide our views on</w:t>
      </w:r>
      <w:r w:rsidR="00876848">
        <w:t xml:space="preserve"> disabling of HARQ feedback to mitigate impact of HARQ stalling on UE data rates.</w:t>
      </w:r>
    </w:p>
    <w:p w14:paraId="0C31D433" w14:textId="2C32A731" w:rsidR="002F2A58" w:rsidRDefault="00EA5A5B" w:rsidP="002F2A58">
      <w:pPr>
        <w:pStyle w:val="Heading1"/>
      </w:pPr>
      <w:r>
        <w:t>Discussion</w:t>
      </w:r>
    </w:p>
    <w:p w14:paraId="10299A7D" w14:textId="13775217" w:rsidR="006243C3" w:rsidRDefault="002D78B7" w:rsidP="002D78B7">
      <w:pPr>
        <w:jc w:val="both"/>
      </w:pPr>
      <w:r>
        <w:t>In Release-17 IoT NTN, the HARQ feedback disabling mechanism was not introduced due to time and scope limitation. NTN network has large propagation delay</w:t>
      </w:r>
      <w:r w:rsidR="00C04917">
        <w:t>. The HARQ stalling in NTN may occur when UE keeps the HARQ soft buffer for HARQ retransmission</w:t>
      </w:r>
      <w:r w:rsidR="006243C3">
        <w:t xml:space="preserve"> with a large turnaround </w:t>
      </w:r>
      <w:r w:rsidR="008A7FB0">
        <w:t>duration</w:t>
      </w:r>
      <w:r w:rsidR="006243C3">
        <w:t>. The number of HARQ processes is upper bounded by 8 for eMTC with FDD and upper bounded by 2 for NB-IoT. The limited number of HARQ processes leads to more frequent HARQ stalling occurrence.</w:t>
      </w:r>
    </w:p>
    <w:p w14:paraId="7109CAF0" w14:textId="77777777" w:rsidR="006243C3" w:rsidRDefault="006243C3" w:rsidP="002D78B7">
      <w:pPr>
        <w:jc w:val="both"/>
      </w:pPr>
    </w:p>
    <w:p w14:paraId="52FA59BA" w14:textId="271879EA" w:rsidR="002D78B7" w:rsidRPr="002D78B7" w:rsidRDefault="002D78B7" w:rsidP="002D78B7">
      <w:pPr>
        <w:jc w:val="both"/>
      </w:pPr>
      <w:r>
        <w:rPr>
          <w:iCs/>
        </w:rPr>
        <w:t xml:space="preserve">The disabling of HARQ feedback allows the prompt release of HARQ soft buffer to facilitate the reception of new data, which is an efficient way to address the HARQ stalling in NTN due to large propagation delay. The disabling of HARQ feedback may increase throughput, at the cost of reduced reliability and increased latency. The increased latency is due to retransmission occurring only at RLC layer. </w:t>
      </w:r>
    </w:p>
    <w:p w14:paraId="4549CBF6" w14:textId="05AEA0CD" w:rsidR="00D25155" w:rsidRDefault="00D25155" w:rsidP="00631345">
      <w:pPr>
        <w:jc w:val="both"/>
      </w:pPr>
    </w:p>
    <w:p w14:paraId="175B9AA3" w14:textId="26B01CD5" w:rsidR="002D78B7" w:rsidRDefault="002D78B7" w:rsidP="00631345">
      <w:pPr>
        <w:jc w:val="both"/>
      </w:pPr>
      <w:r>
        <w:t>In Release-18 NR NTN, the disabling of HARQ feedback is supported. Specifically, the disabling of HARQ feedback</w:t>
      </w:r>
      <w:r w:rsidR="008D511F">
        <w:t xml:space="preserve"> for downlink transmission</w:t>
      </w:r>
      <w:r>
        <w:t xml:space="preserve"> is configurable per HARQ process via UE specific RRC signaling. </w:t>
      </w:r>
      <w:r w:rsidR="008D511F">
        <w:t xml:space="preserve">We think the same mechanism is applicable to IoT NTN. Hence, we have the following proposal. </w:t>
      </w:r>
    </w:p>
    <w:p w14:paraId="27F9DB98" w14:textId="77777777" w:rsidR="003F245C" w:rsidRDefault="003F245C" w:rsidP="00631345">
      <w:pPr>
        <w:jc w:val="both"/>
      </w:pPr>
    </w:p>
    <w:p w14:paraId="150569A1" w14:textId="248F3295" w:rsidR="00FA72BF" w:rsidRDefault="00FA72BF" w:rsidP="00631345">
      <w:pPr>
        <w:jc w:val="both"/>
      </w:pPr>
      <w:r w:rsidRPr="003F245C">
        <w:rPr>
          <w:b/>
          <w:bCs/>
          <w:i/>
          <w:iCs/>
          <w:u w:val="single"/>
        </w:rPr>
        <w:t>Proposal 1:</w:t>
      </w:r>
      <w:r>
        <w:t xml:space="preserve"> </w:t>
      </w:r>
      <w:r w:rsidR="00876848">
        <w:rPr>
          <w:i/>
          <w:iCs/>
        </w:rPr>
        <w:t xml:space="preserve">The disabling of HARQ feedback </w:t>
      </w:r>
      <w:r w:rsidR="008D511F">
        <w:rPr>
          <w:i/>
          <w:iCs/>
        </w:rPr>
        <w:t xml:space="preserve">for downlink transmission </w:t>
      </w:r>
      <w:r w:rsidR="00876848">
        <w:rPr>
          <w:i/>
          <w:iCs/>
        </w:rPr>
        <w:t>is configurable per HARQ process via UE specific RRC signaling.</w:t>
      </w:r>
    </w:p>
    <w:p w14:paraId="1DB019BD" w14:textId="57D32CA8" w:rsidR="003F245C" w:rsidRDefault="003F245C" w:rsidP="00A324EA">
      <w:pPr>
        <w:jc w:val="both"/>
      </w:pPr>
    </w:p>
    <w:p w14:paraId="3A935E54" w14:textId="6D9093B9" w:rsidR="008D511F" w:rsidRDefault="008A7FB0" w:rsidP="00413CB4">
      <w:pPr>
        <w:jc w:val="both"/>
      </w:pPr>
      <w:r>
        <w:t>According to</w:t>
      </w:r>
      <w:r w:rsidR="008D511F">
        <w:t xml:space="preserve"> existing specification (Section 7.3.1 of </w:t>
      </w:r>
      <w:r w:rsidR="008D511F">
        <w:fldChar w:fldCharType="begin"/>
      </w:r>
      <w:r w:rsidR="008D511F">
        <w:instrText xml:space="preserve"> REF _Ref100227671 \r \h </w:instrText>
      </w:r>
      <w:r w:rsidR="008D511F">
        <w:fldChar w:fldCharType="separate"/>
      </w:r>
      <w:r w:rsidR="008D511F">
        <w:t>[3]</w:t>
      </w:r>
      <w:r w:rsidR="008D511F">
        <w:fldChar w:fldCharType="end"/>
      </w:r>
      <w:r w:rsidR="008D511F">
        <w:t xml:space="preserve">), if a UE is configured with higher layer parameters </w:t>
      </w:r>
      <w:r w:rsidR="008D511F" w:rsidRPr="008D511F">
        <w:rPr>
          <w:i/>
          <w:iCs/>
        </w:rPr>
        <w:t>codebooksizeDetermination-r13</w:t>
      </w:r>
      <w:r w:rsidR="008D511F">
        <w:rPr>
          <w:i/>
          <w:iCs/>
        </w:rPr>
        <w:t>=dai</w:t>
      </w:r>
      <w:r w:rsidR="008D511F" w:rsidRPr="008D511F">
        <w:t xml:space="preserve"> </w:t>
      </w:r>
      <w:r w:rsidR="00413CB4">
        <w:t xml:space="preserve">or </w:t>
      </w:r>
      <w:r w:rsidR="00413CB4" w:rsidRPr="00413CB4">
        <w:rPr>
          <w:i/>
          <w:iCs/>
        </w:rPr>
        <w:t>codebooksizeDeterminationSTTI</w:t>
      </w:r>
      <w:r w:rsidR="00413CB4">
        <w:rPr>
          <w:i/>
          <w:iCs/>
        </w:rPr>
        <w:t>=dai</w:t>
      </w:r>
      <w:r w:rsidR="00413CB4" w:rsidRPr="00413CB4">
        <w:rPr>
          <w:i/>
          <w:iCs/>
        </w:rPr>
        <w:t xml:space="preserve"> </w:t>
      </w:r>
      <w:r w:rsidR="008D511F">
        <w:t xml:space="preserve">and if the UE transmits HARQ-ACK using PUCCH format 3, 4 or 5, the UE shall construct the HARQ codebook. </w:t>
      </w:r>
      <w:r w:rsidR="00413CB4">
        <w:t xml:space="preserve">The HARQ codebook should only include the ACK/NACK bits from feedback-enabled HARQ processes, while not including the ACK/NACK bits from feedback-disabled HARQ processes. </w:t>
      </w:r>
      <w:r w:rsidR="00413CB4">
        <w:lastRenderedPageBreak/>
        <w:t xml:space="preserve">This is similar to Type-2 HARQ codebook constructions in NR NTN. Furthermore, when a UE receives a DCI scheduling a feedback-disabled HARQ process, it should ignore the DAI field in the DCI. </w:t>
      </w:r>
    </w:p>
    <w:p w14:paraId="573FF71A" w14:textId="77777777" w:rsidR="00E76D00" w:rsidRDefault="00E76D00" w:rsidP="00631345">
      <w:pPr>
        <w:jc w:val="both"/>
      </w:pPr>
    </w:p>
    <w:p w14:paraId="276D757C" w14:textId="550BA5C1" w:rsidR="003F245C" w:rsidRDefault="003F245C" w:rsidP="00631345">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00876848">
        <w:rPr>
          <w:i/>
          <w:iCs/>
        </w:rPr>
        <w:t>In HARQ-ACK codebook construction</w:t>
      </w:r>
      <w:r w:rsidR="00A648C1">
        <w:rPr>
          <w:i/>
          <w:iCs/>
        </w:rPr>
        <w:t xml:space="preserve"> for </w:t>
      </w:r>
      <w:r w:rsidR="00876848">
        <w:rPr>
          <w:i/>
          <w:iCs/>
        </w:rPr>
        <w:t xml:space="preserve">PUCCH format 3, 4 or 5, </w:t>
      </w:r>
      <w:r w:rsidR="00A648C1">
        <w:rPr>
          <w:i/>
          <w:iCs/>
        </w:rPr>
        <w:t>the HARQ codebook does not include the ACK/NACK bits from feedback-disabled HARQ processes.</w:t>
      </w:r>
    </w:p>
    <w:p w14:paraId="3AE2BE5F" w14:textId="659A23A2" w:rsidR="00A648C1" w:rsidRPr="00A648C1" w:rsidRDefault="00A648C1" w:rsidP="00A648C1">
      <w:pPr>
        <w:pStyle w:val="ListParagraph"/>
        <w:numPr>
          <w:ilvl w:val="0"/>
          <w:numId w:val="48"/>
        </w:numPr>
        <w:jc w:val="both"/>
        <w:rPr>
          <w:rFonts w:ascii="Times New Roman" w:hAnsi="Times New Roman"/>
          <w:i/>
          <w:iCs/>
          <w:sz w:val="24"/>
          <w:szCs w:val="24"/>
        </w:rPr>
      </w:pPr>
      <w:r>
        <w:rPr>
          <w:rFonts w:ascii="Times New Roman" w:hAnsi="Times New Roman"/>
          <w:i/>
          <w:iCs/>
          <w:sz w:val="24"/>
          <w:szCs w:val="24"/>
        </w:rPr>
        <w:t>UE ignores t</w:t>
      </w:r>
      <w:r w:rsidRPr="00A648C1">
        <w:rPr>
          <w:rFonts w:ascii="Times New Roman" w:hAnsi="Times New Roman"/>
          <w:i/>
          <w:iCs/>
          <w:sz w:val="24"/>
          <w:szCs w:val="24"/>
        </w:rPr>
        <w:t xml:space="preserve">he DAI field in </w:t>
      </w:r>
      <w:r>
        <w:rPr>
          <w:rFonts w:ascii="Times New Roman" w:hAnsi="Times New Roman"/>
          <w:i/>
          <w:iCs/>
          <w:sz w:val="24"/>
          <w:szCs w:val="24"/>
        </w:rPr>
        <w:t xml:space="preserve">the </w:t>
      </w:r>
      <w:r w:rsidRPr="00A648C1">
        <w:rPr>
          <w:rFonts w:ascii="Times New Roman" w:hAnsi="Times New Roman"/>
          <w:i/>
          <w:iCs/>
          <w:sz w:val="24"/>
          <w:szCs w:val="24"/>
        </w:rPr>
        <w:t>DCI scheduling feedback-disabled HARQ process</w:t>
      </w:r>
      <w:r w:rsidR="00752562">
        <w:rPr>
          <w:rFonts w:ascii="Times New Roman" w:hAnsi="Times New Roman"/>
          <w:i/>
          <w:iCs/>
          <w:sz w:val="24"/>
          <w:szCs w:val="24"/>
        </w:rPr>
        <w:t>.</w:t>
      </w:r>
    </w:p>
    <w:p w14:paraId="4A1B8F67" w14:textId="3AEC9B30" w:rsidR="003F245C" w:rsidRDefault="003F245C" w:rsidP="00631345">
      <w:pPr>
        <w:jc w:val="both"/>
      </w:pPr>
    </w:p>
    <w:p w14:paraId="41372C57" w14:textId="208E32A8" w:rsidR="00752562" w:rsidRDefault="00752562" w:rsidP="00631345">
      <w:pPr>
        <w:jc w:val="both"/>
      </w:pPr>
      <w:r>
        <w:t xml:space="preserve">For a UE in half-duplex FDD operation, if the UE is configured with </w:t>
      </w:r>
      <w:r w:rsidRPr="00752562">
        <w:rPr>
          <w:i/>
          <w:iCs/>
        </w:rPr>
        <w:t>CEModeA</w:t>
      </w:r>
      <w:r>
        <w:t xml:space="preserve"> and </w:t>
      </w:r>
      <w:r w:rsidRPr="00752562">
        <w:rPr>
          <w:i/>
          <w:iCs/>
        </w:rPr>
        <w:t>ce-HARQ-AckBundlin</w:t>
      </w:r>
      <w:r w:rsidR="008A7FB0">
        <w:rPr>
          <w:i/>
          <w:iCs/>
        </w:rPr>
        <w:t xml:space="preserve">g, </w:t>
      </w:r>
      <w:r w:rsidRPr="00752562">
        <w:t>a</w:t>
      </w:r>
      <w:r w:rsidR="008A7FB0">
        <w:t>lso</w:t>
      </w:r>
      <w:r>
        <w:t xml:space="preserve"> the “HARQ-ACK bundling flag” in the corresponding DCI is set to 1, the UE shall generate one HARQ-ACK bit by performing a logical AND operation of HARQ-ACKs across all </w:t>
      </w:r>
      <w:r w:rsidR="00BD0084">
        <w:t xml:space="preserve">downlink subframes corresponding to the HARQ-ACK transmission subframe. In HARQ-ACK bundling, ACK </w:t>
      </w:r>
      <w:r w:rsidR="008A7FB0">
        <w:t>is assumed for</w:t>
      </w:r>
      <w:r w:rsidR="00BD0084">
        <w:t xml:space="preserve"> a feedback-disabled HARQ process in the logical AND operation</w:t>
      </w:r>
      <w:r w:rsidR="008A7FB0">
        <w:t>.</w:t>
      </w:r>
    </w:p>
    <w:p w14:paraId="079E172E" w14:textId="77777777" w:rsidR="00BD0084" w:rsidRDefault="00BD0084" w:rsidP="00631345">
      <w:pPr>
        <w:jc w:val="both"/>
      </w:pPr>
    </w:p>
    <w:p w14:paraId="400D4314" w14:textId="20288812" w:rsidR="00A648C1" w:rsidRDefault="00A648C1" w:rsidP="00631345">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In HARQ-ACK bundlin</w:t>
      </w:r>
      <w:r w:rsidR="00605A32">
        <w:rPr>
          <w:i/>
          <w:iCs/>
        </w:rPr>
        <w:t>g</w:t>
      </w:r>
      <w:r w:rsidR="008A7FB0">
        <w:rPr>
          <w:i/>
          <w:iCs/>
        </w:rPr>
        <w:t xml:space="preserve"> with logical AND operation</w:t>
      </w:r>
      <w:r>
        <w:rPr>
          <w:i/>
          <w:iCs/>
        </w:rPr>
        <w:t xml:space="preserve">, ACK </w:t>
      </w:r>
      <w:r w:rsidR="008A7FB0">
        <w:rPr>
          <w:i/>
          <w:iCs/>
        </w:rPr>
        <w:t xml:space="preserve">is assumed for </w:t>
      </w:r>
      <w:r>
        <w:rPr>
          <w:i/>
          <w:iCs/>
        </w:rPr>
        <w:t>a feedback-disabled HARQ process.</w:t>
      </w:r>
    </w:p>
    <w:p w14:paraId="4989D89D" w14:textId="45D463E4" w:rsidR="00BD0084" w:rsidRDefault="00BD0084" w:rsidP="000F334F">
      <w:pPr>
        <w:jc w:val="both"/>
        <w:rPr>
          <w:iCs/>
        </w:rPr>
      </w:pPr>
    </w:p>
    <w:p w14:paraId="0008F334" w14:textId="241C7533" w:rsidR="008C32E9" w:rsidRDefault="008C32E9" w:rsidP="000F334F">
      <w:pPr>
        <w:jc w:val="both"/>
        <w:rPr>
          <w:iCs/>
        </w:rPr>
      </w:pPr>
      <w:r>
        <w:rPr>
          <w:iCs/>
        </w:rPr>
        <w:t>In NR NTN, it was agreed that for HARQ feedback of each SPS PDSCH, UE follows the per-process configuration of HARQ feedback enabled/disabled for the associated HARQ process. The similar approach could be applied to IoT NTN. Specifically, the HARQ codebook does not include the ACK/NACK bits from feedback-disabled HARQ processes.</w:t>
      </w:r>
    </w:p>
    <w:p w14:paraId="7178F7AE" w14:textId="48C2C054" w:rsidR="008C32E9" w:rsidRDefault="008C32E9" w:rsidP="000F334F">
      <w:pPr>
        <w:jc w:val="both"/>
        <w:rPr>
          <w:iCs/>
        </w:rPr>
      </w:pPr>
    </w:p>
    <w:p w14:paraId="67DA02DD" w14:textId="77777777" w:rsidR="008C32E9" w:rsidRDefault="008C32E9" w:rsidP="008C32E9">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HARQ feedback of each SPS PDSCH, UE follows the per-process configuration of HARQ feedback enabled/disabled for the associated HARQ process. </w:t>
      </w:r>
    </w:p>
    <w:p w14:paraId="40CE2765" w14:textId="6A468CE1" w:rsidR="008C32E9" w:rsidRPr="008C32E9" w:rsidRDefault="008C32E9" w:rsidP="008C32E9">
      <w:pPr>
        <w:pStyle w:val="ListParagraph"/>
        <w:numPr>
          <w:ilvl w:val="0"/>
          <w:numId w:val="48"/>
        </w:numPr>
        <w:jc w:val="both"/>
        <w:rPr>
          <w:rFonts w:ascii="Times New Roman" w:hAnsi="Times New Roman"/>
          <w:i/>
          <w:iCs/>
          <w:sz w:val="24"/>
          <w:szCs w:val="24"/>
        </w:rPr>
      </w:pPr>
      <w:r w:rsidRPr="008C32E9">
        <w:rPr>
          <w:rFonts w:ascii="Times New Roman" w:hAnsi="Times New Roman"/>
          <w:i/>
          <w:iCs/>
          <w:sz w:val="24"/>
          <w:szCs w:val="24"/>
        </w:rPr>
        <w:t xml:space="preserve">The HARQ codebook does not include the ACK/NACK bits from feedback-disabled HARQ processes. </w:t>
      </w:r>
    </w:p>
    <w:p w14:paraId="6FF49A00" w14:textId="15C4DF53" w:rsidR="008C32E9" w:rsidRDefault="008C32E9" w:rsidP="008C32E9">
      <w:pPr>
        <w:jc w:val="both"/>
        <w:rPr>
          <w:i/>
          <w:iCs/>
        </w:rPr>
      </w:pPr>
    </w:p>
    <w:p w14:paraId="3CB8273A" w14:textId="7612307C" w:rsidR="008C32E9" w:rsidRPr="008C32E9" w:rsidRDefault="0092357C" w:rsidP="008C32E9">
      <w:pPr>
        <w:jc w:val="both"/>
        <w:rPr>
          <w:iCs/>
        </w:rPr>
      </w:pPr>
      <w:r>
        <w:rPr>
          <w:iCs/>
        </w:rPr>
        <w:t>Since the SPS PDSCH release is not associated with a HARQ process, the HARQ-ACK feedback for SPS PDSCH release is always enabled.</w:t>
      </w:r>
    </w:p>
    <w:p w14:paraId="72592291" w14:textId="77777777" w:rsidR="008C32E9" w:rsidRPr="008C32E9" w:rsidRDefault="008C32E9" w:rsidP="000F334F">
      <w:pPr>
        <w:jc w:val="both"/>
        <w:rPr>
          <w:iCs/>
        </w:rPr>
      </w:pPr>
    </w:p>
    <w:p w14:paraId="67A4FDAD" w14:textId="089EF3A4" w:rsidR="000F4676" w:rsidRDefault="000F4676" w:rsidP="000F334F">
      <w:pPr>
        <w:jc w:val="both"/>
        <w:rPr>
          <w:i/>
          <w:iCs/>
        </w:rPr>
      </w:pPr>
      <w:r w:rsidRPr="003F245C">
        <w:rPr>
          <w:b/>
          <w:bCs/>
          <w:i/>
          <w:iCs/>
          <w:u w:val="single"/>
        </w:rPr>
        <w:t xml:space="preserve">Proposal </w:t>
      </w:r>
      <w:r w:rsidR="008C32E9">
        <w:rPr>
          <w:b/>
          <w:bCs/>
          <w:i/>
          <w:iCs/>
          <w:u w:val="single"/>
        </w:rPr>
        <w:t>5</w:t>
      </w:r>
      <w:r w:rsidRPr="003F245C">
        <w:rPr>
          <w:b/>
          <w:bCs/>
          <w:i/>
          <w:iCs/>
          <w:u w:val="single"/>
        </w:rPr>
        <w:t>:</w:t>
      </w:r>
      <w:r>
        <w:t xml:space="preserve"> </w:t>
      </w:r>
      <w:r>
        <w:rPr>
          <w:i/>
          <w:iCs/>
        </w:rPr>
        <w:t xml:space="preserve">For DCI indicating SPS PDSCH release, HARQ-ACK feedback is always </w:t>
      </w:r>
      <w:r w:rsidR="0092357C">
        <w:rPr>
          <w:i/>
          <w:iCs/>
        </w:rPr>
        <w:t>enabled</w:t>
      </w:r>
      <w:r>
        <w:rPr>
          <w:i/>
          <w:iCs/>
        </w:rPr>
        <w:t>.</w:t>
      </w:r>
    </w:p>
    <w:p w14:paraId="6BB76235" w14:textId="753F8E27" w:rsidR="000C5A80" w:rsidRDefault="000C5A80" w:rsidP="000F334F">
      <w:pPr>
        <w:jc w:val="both"/>
      </w:pPr>
    </w:p>
    <w:p w14:paraId="75438785" w14:textId="1940F556" w:rsidR="00E51298" w:rsidRDefault="000C5A80" w:rsidP="000F334F">
      <w:pPr>
        <w:jc w:val="both"/>
      </w:pPr>
      <w:r>
        <w:t>In NR NTN, it was agreed that HARQ feedback for SPS activation may be additionally enabled by the network by RRC configuration.</w:t>
      </w:r>
      <w:r w:rsidR="00E51298">
        <w:t xml:space="preserve"> If enabled, UE reports ACK/NACK for the first SPS PDSCH after activation, regardless of the feedback configuration of the HARQ process. If disabled, UE follows the feedback configuration of the HARQ process for the first SPS PDSCH after activation. </w:t>
      </w:r>
    </w:p>
    <w:p w14:paraId="7DF04282" w14:textId="77777777" w:rsidR="00E51298" w:rsidRDefault="00E51298" w:rsidP="000F334F">
      <w:pPr>
        <w:jc w:val="both"/>
      </w:pPr>
    </w:p>
    <w:p w14:paraId="7F249B8C" w14:textId="58676A79" w:rsidR="00E51298" w:rsidRDefault="00E51298" w:rsidP="000F334F">
      <w:pPr>
        <w:jc w:val="both"/>
      </w:pPr>
      <w:r>
        <w:t xml:space="preserve">The same mechanism could be applied to IoT NTN. </w:t>
      </w:r>
      <w:r w:rsidR="00605A32">
        <w:t xml:space="preserve">Specifically, with additional RRC configuration of HARQ feedback for SPS PDSCH activation, UE reports ACK/NACK for the first SPS PDSCH after activation. Without additional RRC configuration of HARQ feedback for SPS DPSCH activation, UE follows the feedback configuration of the HARQ process for the first SPS PDSCH after activation. </w:t>
      </w:r>
    </w:p>
    <w:p w14:paraId="62742C1C" w14:textId="77777777" w:rsidR="00E51298" w:rsidRDefault="00E51298" w:rsidP="000F334F">
      <w:pPr>
        <w:jc w:val="both"/>
      </w:pPr>
    </w:p>
    <w:p w14:paraId="36FD39AD" w14:textId="33372268" w:rsidR="0092357C" w:rsidRPr="0092357C" w:rsidRDefault="00E51298" w:rsidP="000F334F">
      <w:pPr>
        <w:jc w:val="both"/>
      </w:pPr>
      <w:r w:rsidRPr="003F245C">
        <w:rPr>
          <w:b/>
          <w:bCs/>
          <w:i/>
          <w:iCs/>
          <w:u w:val="single"/>
        </w:rPr>
        <w:t xml:space="preserve">Proposal </w:t>
      </w:r>
      <w:r>
        <w:rPr>
          <w:b/>
          <w:bCs/>
          <w:i/>
          <w:iCs/>
          <w:u w:val="single"/>
        </w:rPr>
        <w:t>6</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2896E657" w14:textId="2DF29AD0" w:rsidR="00854A60" w:rsidRPr="00A6576F" w:rsidRDefault="009C5A97" w:rsidP="00FB330B">
      <w:pPr>
        <w:pStyle w:val="Heading1"/>
      </w:pPr>
      <w:r w:rsidRPr="00A6576F">
        <w:lastRenderedPageBreak/>
        <w:t>Conclusion</w:t>
      </w:r>
    </w:p>
    <w:p w14:paraId="7973EDF6" w14:textId="04DFDE8A" w:rsidR="0064641E" w:rsidRDefault="00A04318" w:rsidP="00BB4346">
      <w:pPr>
        <w:jc w:val="both"/>
      </w:pPr>
      <w:r>
        <w:t xml:space="preserve">In this contribution, </w:t>
      </w:r>
      <w:r w:rsidR="00F2767C">
        <w:t xml:space="preserve">we provided our views on </w:t>
      </w:r>
      <w:r w:rsidR="00E76D00">
        <w:t>disabling of HARQ feedback for IoT NTN</w:t>
      </w:r>
      <w:r w:rsidR="00F2767C">
        <w:t xml:space="preserve">. </w:t>
      </w:r>
      <w:r>
        <w:t>Our</w:t>
      </w:r>
      <w:r w:rsidR="000D011A">
        <w:t xml:space="preserve"> </w:t>
      </w:r>
      <w:r>
        <w:t>proposals are as follows:</w:t>
      </w:r>
    </w:p>
    <w:p w14:paraId="46540647" w14:textId="7095127F" w:rsidR="000D011A" w:rsidRDefault="000D011A" w:rsidP="00BB4346">
      <w:pPr>
        <w:jc w:val="both"/>
      </w:pPr>
    </w:p>
    <w:p w14:paraId="16FFF3D7" w14:textId="77777777" w:rsidR="00605A32" w:rsidRDefault="00605A32" w:rsidP="00605A32">
      <w:pPr>
        <w:jc w:val="both"/>
      </w:pPr>
      <w:r w:rsidRPr="003F245C">
        <w:rPr>
          <w:b/>
          <w:bCs/>
          <w:i/>
          <w:iCs/>
          <w:u w:val="single"/>
        </w:rPr>
        <w:t>Proposal 1:</w:t>
      </w:r>
      <w:r>
        <w:t xml:space="preserve"> </w:t>
      </w:r>
      <w:r>
        <w:rPr>
          <w:i/>
          <w:iCs/>
        </w:rPr>
        <w:t>The disabling of HARQ feedback for downlink transmission is configurable per HARQ process via UE specific RRC signaling.</w:t>
      </w:r>
    </w:p>
    <w:p w14:paraId="21F389F3" w14:textId="77777777" w:rsidR="00605A32" w:rsidRDefault="00605A32" w:rsidP="00BB4346">
      <w:pPr>
        <w:jc w:val="both"/>
      </w:pPr>
    </w:p>
    <w:p w14:paraId="18BF9717" w14:textId="63655050" w:rsidR="00605A32" w:rsidRDefault="00605A32" w:rsidP="00605A32">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In HARQ-ACK codebook construction for PUCCH format 3, 4 or 5, the HARQ codebook does not include the ACK/NACK bits from feedback-disabled HARQ processes.</w:t>
      </w:r>
    </w:p>
    <w:p w14:paraId="09140FD2" w14:textId="77777777" w:rsidR="00605A32" w:rsidRPr="00A648C1" w:rsidRDefault="00605A32" w:rsidP="00605A32">
      <w:pPr>
        <w:pStyle w:val="ListParagraph"/>
        <w:numPr>
          <w:ilvl w:val="0"/>
          <w:numId w:val="48"/>
        </w:numPr>
        <w:jc w:val="both"/>
        <w:rPr>
          <w:rFonts w:ascii="Times New Roman" w:hAnsi="Times New Roman"/>
          <w:i/>
          <w:iCs/>
          <w:sz w:val="24"/>
          <w:szCs w:val="24"/>
        </w:rPr>
      </w:pPr>
      <w:r>
        <w:rPr>
          <w:rFonts w:ascii="Times New Roman" w:hAnsi="Times New Roman"/>
          <w:i/>
          <w:iCs/>
          <w:sz w:val="24"/>
          <w:szCs w:val="24"/>
        </w:rPr>
        <w:t>UE ignores t</w:t>
      </w:r>
      <w:r w:rsidRPr="00A648C1">
        <w:rPr>
          <w:rFonts w:ascii="Times New Roman" w:hAnsi="Times New Roman"/>
          <w:i/>
          <w:iCs/>
          <w:sz w:val="24"/>
          <w:szCs w:val="24"/>
        </w:rPr>
        <w:t xml:space="preserve">he DAI field in </w:t>
      </w:r>
      <w:r>
        <w:rPr>
          <w:rFonts w:ascii="Times New Roman" w:hAnsi="Times New Roman"/>
          <w:i/>
          <w:iCs/>
          <w:sz w:val="24"/>
          <w:szCs w:val="24"/>
        </w:rPr>
        <w:t xml:space="preserve">the </w:t>
      </w:r>
      <w:r w:rsidRPr="00A648C1">
        <w:rPr>
          <w:rFonts w:ascii="Times New Roman" w:hAnsi="Times New Roman"/>
          <w:i/>
          <w:iCs/>
          <w:sz w:val="24"/>
          <w:szCs w:val="24"/>
        </w:rPr>
        <w:t>DCI scheduling feedback-disabled HARQ process</w:t>
      </w:r>
      <w:r>
        <w:rPr>
          <w:rFonts w:ascii="Times New Roman" w:hAnsi="Times New Roman"/>
          <w:i/>
          <w:iCs/>
          <w:sz w:val="24"/>
          <w:szCs w:val="24"/>
        </w:rPr>
        <w:t>.</w:t>
      </w:r>
    </w:p>
    <w:p w14:paraId="7C0BF121" w14:textId="61AFA32F" w:rsidR="000D011A" w:rsidRDefault="000D011A" w:rsidP="000D011A">
      <w:pPr>
        <w:jc w:val="both"/>
        <w:rPr>
          <w:i/>
        </w:rPr>
      </w:pPr>
    </w:p>
    <w:p w14:paraId="16BA2F39" w14:textId="77777777" w:rsidR="008A7FB0" w:rsidRDefault="008A7FB0" w:rsidP="008A7FB0">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In HARQ-ACK bundling with logical AND operation, ACK is assumed for a feedback-disabled HARQ process.</w:t>
      </w:r>
    </w:p>
    <w:p w14:paraId="361FD2B1" w14:textId="3A9835D0" w:rsidR="00397CC3" w:rsidRDefault="00397CC3" w:rsidP="00A50B92">
      <w:pPr>
        <w:jc w:val="both"/>
        <w:rPr>
          <w:i/>
        </w:rPr>
      </w:pPr>
    </w:p>
    <w:p w14:paraId="6CEE00EF" w14:textId="77777777" w:rsidR="00605A32" w:rsidRDefault="00605A32" w:rsidP="00605A32">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HARQ feedback of each SPS PDSCH, UE follows the per-process configuration of HARQ feedback enabled/disabled for the associated HARQ process. </w:t>
      </w:r>
    </w:p>
    <w:p w14:paraId="01A6C9D6" w14:textId="77777777" w:rsidR="00605A32" w:rsidRPr="008C32E9" w:rsidRDefault="00605A32" w:rsidP="00605A32">
      <w:pPr>
        <w:pStyle w:val="ListParagraph"/>
        <w:numPr>
          <w:ilvl w:val="0"/>
          <w:numId w:val="48"/>
        </w:numPr>
        <w:jc w:val="both"/>
        <w:rPr>
          <w:rFonts w:ascii="Times New Roman" w:hAnsi="Times New Roman"/>
          <w:i/>
          <w:iCs/>
          <w:sz w:val="24"/>
          <w:szCs w:val="24"/>
        </w:rPr>
      </w:pPr>
      <w:r w:rsidRPr="008C32E9">
        <w:rPr>
          <w:rFonts w:ascii="Times New Roman" w:hAnsi="Times New Roman"/>
          <w:i/>
          <w:iCs/>
          <w:sz w:val="24"/>
          <w:szCs w:val="24"/>
        </w:rPr>
        <w:t xml:space="preserve">The HARQ codebook does not include the ACK/NACK bits from feedback-disabled HARQ processes. </w:t>
      </w:r>
    </w:p>
    <w:p w14:paraId="002A2AB5" w14:textId="77777777" w:rsidR="00605A32" w:rsidRPr="008C32E9" w:rsidRDefault="00605A32" w:rsidP="00605A32">
      <w:pPr>
        <w:jc w:val="both"/>
        <w:rPr>
          <w:iCs/>
        </w:rPr>
      </w:pPr>
    </w:p>
    <w:p w14:paraId="6CB4FF46" w14:textId="77777777" w:rsidR="00605A32" w:rsidRDefault="00605A32" w:rsidP="00605A32">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For DCI indicating SPS PDSCH release, HARQ-ACK feedback is always enabled.</w:t>
      </w:r>
    </w:p>
    <w:p w14:paraId="7C553C0F" w14:textId="73763E0F" w:rsidR="00605A32" w:rsidRDefault="00605A32" w:rsidP="00A50B92">
      <w:pPr>
        <w:jc w:val="both"/>
        <w:rPr>
          <w:i/>
        </w:rPr>
      </w:pPr>
    </w:p>
    <w:p w14:paraId="1A37CC2C" w14:textId="5007F53F" w:rsidR="00605A32" w:rsidRDefault="00605A32" w:rsidP="00A50B92">
      <w:pPr>
        <w:jc w:val="both"/>
      </w:pPr>
      <w:r w:rsidRPr="003F245C">
        <w:rPr>
          <w:b/>
          <w:bCs/>
          <w:i/>
          <w:iCs/>
          <w:u w:val="single"/>
        </w:rPr>
        <w:t xml:space="preserve">Proposal </w:t>
      </w:r>
      <w:r>
        <w:rPr>
          <w:b/>
          <w:bCs/>
          <w:i/>
          <w:iCs/>
          <w:u w:val="single"/>
        </w:rPr>
        <w:t>6</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6D9F75FD" w14:textId="5B281793"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RP-213596, “New WID on IoT NTN enhancements,” Dec. 2021.</w:t>
      </w:r>
    </w:p>
    <w:p w14:paraId="361043D0" w14:textId="59D3B347" w:rsidR="00AF1D90" w:rsidRDefault="00FA72BF" w:rsidP="00FA72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0217924"/>
      <w:r w:rsidRPr="00FA72BF">
        <w:t>RP-2</w:t>
      </w:r>
      <w:bookmarkEnd w:id="0"/>
      <w:bookmarkEnd w:id="1"/>
      <w:r w:rsidR="00876848">
        <w:t>20979</w:t>
      </w:r>
      <w:r>
        <w:t>, “</w:t>
      </w:r>
      <w:r w:rsidR="00876848">
        <w:t>Revised</w:t>
      </w:r>
      <w:r>
        <w:t xml:space="preserve"> WID on </w:t>
      </w:r>
      <w:r w:rsidR="00876848">
        <w:t>IoT NTN enhancements</w:t>
      </w:r>
      <w:r>
        <w:t xml:space="preserve">,” </w:t>
      </w:r>
      <w:r w:rsidR="00876848">
        <w:t>Mar</w:t>
      </w:r>
      <w:r>
        <w:t>. 202</w:t>
      </w:r>
      <w:r w:rsidR="00876848">
        <w:t>2</w:t>
      </w:r>
      <w:r>
        <w:t>.</w:t>
      </w:r>
      <w:bookmarkEnd w:id="2"/>
      <w:bookmarkEnd w:id="4"/>
      <w:r>
        <w:t xml:space="preserve"> </w:t>
      </w:r>
      <w:bookmarkEnd w:id="3"/>
    </w:p>
    <w:p w14:paraId="1DE0AF17" w14:textId="7D4B4670" w:rsidR="008D511F" w:rsidRPr="00876848" w:rsidRDefault="008D511F" w:rsidP="00FA72B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0227671"/>
      <w:r>
        <w:t xml:space="preserve">3GPP TS 36.213, </w:t>
      </w:r>
      <w:r w:rsidRPr="008D511F">
        <w:t>Evolved Universal Terrestrial Radio Access (E-UTRA); Physical layer procedures</w:t>
      </w:r>
      <w:r>
        <w:t>, v17.1.0, Apr. 2022.</w:t>
      </w:r>
      <w:bookmarkEnd w:id="5"/>
      <w:r>
        <w:t xml:space="preserve"> </w:t>
      </w:r>
    </w:p>
    <w:sectPr w:rsidR="008D511F"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20A1B" w14:textId="77777777" w:rsidR="003F0ADD" w:rsidRDefault="003F0ADD">
      <w:r>
        <w:separator/>
      </w:r>
    </w:p>
  </w:endnote>
  <w:endnote w:type="continuationSeparator" w:id="0">
    <w:p w14:paraId="0C2AA60D" w14:textId="77777777" w:rsidR="003F0ADD" w:rsidRDefault="003F0ADD">
      <w:r>
        <w:continuationSeparator/>
      </w:r>
    </w:p>
  </w:endnote>
  <w:endnote w:type="continuationNotice" w:id="1">
    <w:p w14:paraId="7E408F47" w14:textId="77777777" w:rsidR="003F0ADD" w:rsidRDefault="003F0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panose1 w:val="020B0604020202020204"/>
    <w:charset w:val="00"/>
    <w:family w:val="auto"/>
    <w:pitch w:val="variable"/>
    <w:sig w:usb0="00000001"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7A811" w14:textId="77777777" w:rsidR="003F0ADD" w:rsidRDefault="003F0ADD">
      <w:r>
        <w:separator/>
      </w:r>
    </w:p>
  </w:footnote>
  <w:footnote w:type="continuationSeparator" w:id="0">
    <w:p w14:paraId="1D4450A6" w14:textId="77777777" w:rsidR="003F0ADD" w:rsidRDefault="003F0ADD">
      <w:r>
        <w:continuationSeparator/>
      </w:r>
    </w:p>
  </w:footnote>
  <w:footnote w:type="continuationNotice" w:id="1">
    <w:p w14:paraId="27C00586" w14:textId="77777777" w:rsidR="003F0ADD" w:rsidRDefault="003F0A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80F3E"/>
    <w:multiLevelType w:val="hybridMultilevel"/>
    <w:tmpl w:val="495E32D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034422"/>
    <w:multiLevelType w:val="hybridMultilevel"/>
    <w:tmpl w:val="035E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92C2A"/>
    <w:multiLevelType w:val="hybridMultilevel"/>
    <w:tmpl w:val="EDD4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8BE"/>
    <w:multiLevelType w:val="hybridMultilevel"/>
    <w:tmpl w:val="060C4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77CB"/>
    <w:multiLevelType w:val="hybridMultilevel"/>
    <w:tmpl w:val="F062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20BD8"/>
    <w:multiLevelType w:val="hybridMultilevel"/>
    <w:tmpl w:val="3BAE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04DBC"/>
    <w:multiLevelType w:val="hybridMultilevel"/>
    <w:tmpl w:val="CF60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675E7F"/>
    <w:multiLevelType w:val="hybridMultilevel"/>
    <w:tmpl w:val="FB185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437C7"/>
    <w:multiLevelType w:val="hybridMultilevel"/>
    <w:tmpl w:val="325E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2" w15:restartNumberingAfterBreak="0">
    <w:nsid w:val="3B4C24BC"/>
    <w:multiLevelType w:val="hybridMultilevel"/>
    <w:tmpl w:val="17883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8A2EF8"/>
    <w:multiLevelType w:val="hybridMultilevel"/>
    <w:tmpl w:val="43F4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6E17EF"/>
    <w:multiLevelType w:val="hybridMultilevel"/>
    <w:tmpl w:val="D2AC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DA4A88"/>
    <w:multiLevelType w:val="hybridMultilevel"/>
    <w:tmpl w:val="16423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586581"/>
    <w:multiLevelType w:val="hybridMultilevel"/>
    <w:tmpl w:val="B64E8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3D6FD5"/>
    <w:multiLevelType w:val="hybridMultilevel"/>
    <w:tmpl w:val="6046B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293783"/>
    <w:multiLevelType w:val="hybridMultilevel"/>
    <w:tmpl w:val="B0DA1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06730B"/>
    <w:multiLevelType w:val="hybridMultilevel"/>
    <w:tmpl w:val="F0B85F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F4EE0B34">
      <w:start w:val="1"/>
      <w:numFmt w:val="bullet"/>
      <w:lvlText w:val=""/>
      <w:lvlJc w:val="left"/>
      <w:pPr>
        <w:ind w:left="1200" w:hanging="400"/>
      </w:pPr>
      <w:rPr>
        <w:rFonts w:ascii="Wingdings" w:hAnsi="Wingdings"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5" w15:restartNumberingAfterBreak="0">
    <w:nsid w:val="786B785D"/>
    <w:multiLevelType w:val="hybridMultilevel"/>
    <w:tmpl w:val="C7964184"/>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33"/>
  </w:num>
  <w:num w:numId="3">
    <w:abstractNumId w:val="21"/>
  </w:num>
  <w:num w:numId="4">
    <w:abstractNumId w:val="23"/>
  </w:num>
  <w:num w:numId="5">
    <w:abstractNumId w:val="18"/>
  </w:num>
  <w:num w:numId="6">
    <w:abstractNumId w:val="27"/>
  </w:num>
  <w:num w:numId="7">
    <w:abstractNumId w:val="36"/>
  </w:num>
  <w:num w:numId="8">
    <w:abstractNumId w:val="19"/>
  </w:num>
  <w:num w:numId="9">
    <w:abstractNumId w:val="34"/>
  </w:num>
  <w:num w:numId="10">
    <w:abstractNumId w:val="1"/>
  </w:num>
  <w:num w:numId="11">
    <w:abstractNumId w:val="26"/>
  </w:num>
  <w:num w:numId="12">
    <w:abstractNumId w:val="28"/>
  </w:num>
  <w:num w:numId="13">
    <w:abstractNumId w:val="43"/>
  </w:num>
  <w:num w:numId="14">
    <w:abstractNumId w:val="45"/>
  </w:num>
  <w:num w:numId="15">
    <w:abstractNumId w:val="20"/>
  </w:num>
  <w:num w:numId="16">
    <w:abstractNumId w:val="47"/>
  </w:num>
  <w:num w:numId="17">
    <w:abstractNumId w:val="14"/>
  </w:num>
  <w:num w:numId="18">
    <w:abstractNumId w:val="3"/>
  </w:num>
  <w:num w:numId="19">
    <w:abstractNumId w:val="24"/>
  </w:num>
  <w:num w:numId="20">
    <w:abstractNumId w:val="40"/>
  </w:num>
  <w:num w:numId="21">
    <w:abstractNumId w:val="38"/>
  </w:num>
  <w:num w:numId="22">
    <w:abstractNumId w:val="42"/>
  </w:num>
  <w:num w:numId="23">
    <w:abstractNumId w:val="8"/>
  </w:num>
  <w:num w:numId="24">
    <w:abstractNumId w:val="5"/>
  </w:num>
  <w:num w:numId="25">
    <w:abstractNumId w:val="32"/>
  </w:num>
  <w:num w:numId="26">
    <w:abstractNumId w:val="35"/>
  </w:num>
  <w:num w:numId="27">
    <w:abstractNumId w:val="4"/>
  </w:num>
  <w:num w:numId="28">
    <w:abstractNumId w:val="7"/>
  </w:num>
  <w:num w:numId="29">
    <w:abstractNumId w:val="11"/>
  </w:num>
  <w:num w:numId="30">
    <w:abstractNumId w:val="39"/>
  </w:num>
  <w:num w:numId="31">
    <w:abstractNumId w:val="30"/>
  </w:num>
  <w:num w:numId="32">
    <w:abstractNumId w:val="15"/>
  </w:num>
  <w:num w:numId="33">
    <w:abstractNumId w:val="9"/>
  </w:num>
  <w:num w:numId="34">
    <w:abstractNumId w:val="31"/>
  </w:num>
  <w:num w:numId="35">
    <w:abstractNumId w:val="10"/>
  </w:num>
  <w:num w:numId="36">
    <w:abstractNumId w:val="37"/>
  </w:num>
  <w:num w:numId="37">
    <w:abstractNumId w:val="4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2"/>
  </w:num>
  <w:num w:numId="40">
    <w:abstractNumId w:val="16"/>
  </w:num>
  <w:num w:numId="41">
    <w:abstractNumId w:val="22"/>
  </w:num>
  <w:num w:numId="42">
    <w:abstractNumId w:val="13"/>
  </w:num>
  <w:num w:numId="43">
    <w:abstractNumId w:val="6"/>
  </w:num>
  <w:num w:numId="44">
    <w:abstractNumId w:val="41"/>
  </w:num>
  <w:num w:numId="45">
    <w:abstractNumId w:val="25"/>
  </w:num>
  <w:num w:numId="46">
    <w:abstractNumId w:val="29"/>
  </w:num>
  <w:num w:numId="47">
    <w:abstractNumId w:val="46"/>
  </w:num>
  <w:num w:numId="48">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3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1025</Words>
  <Characters>5845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2022-04-22T19:11:00Z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